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99" w:rsidRPr="005F5184" w:rsidRDefault="001B0C99" w:rsidP="001B0C99">
      <w:pPr>
        <w:shd w:val="clear" w:color="auto" w:fill="FFFFFF"/>
        <w:spacing w:line="480" w:lineRule="auto"/>
        <w:jc w:val="center"/>
        <w:outlineLvl w:val="3"/>
        <w:rPr>
          <w:rFonts w:cs="Arial"/>
          <w:lang w:val="en"/>
        </w:rPr>
      </w:pPr>
      <w:r w:rsidRPr="005F5184">
        <w:rPr>
          <w:rFonts w:cs="Arial"/>
          <w:lang w:val="en"/>
        </w:rPr>
        <w:t>AMENDMENT TO THE REGULATIONS OF THE COMMISSIONER OF EDUCATION</w:t>
      </w:r>
    </w:p>
    <w:p w:rsidR="001B0C99" w:rsidRPr="005F5184" w:rsidRDefault="001B0C99" w:rsidP="001B0C99">
      <w:pPr>
        <w:shd w:val="clear" w:color="auto" w:fill="FFFFFF"/>
        <w:spacing w:line="480" w:lineRule="auto"/>
        <w:jc w:val="both"/>
        <w:outlineLvl w:val="3"/>
        <w:rPr>
          <w:rFonts w:cs="Arial"/>
          <w:lang w:val="en"/>
        </w:rPr>
      </w:pPr>
      <w:r w:rsidRPr="005F5184">
        <w:rPr>
          <w:rFonts w:cs="Arial"/>
          <w:lang w:val="en"/>
        </w:rPr>
        <w:tab/>
        <w:t>Pursuant to sections 207, 6501, 6504, 6507, 6508, 8409 of the Education Law, and Chapter 485 of the Laws of 2013</w:t>
      </w:r>
      <w:r>
        <w:rPr>
          <w:rFonts w:cs="Arial"/>
          <w:lang w:val="en"/>
        </w:rPr>
        <w:t xml:space="preserve"> </w:t>
      </w:r>
    </w:p>
    <w:p w:rsidR="001B0C99" w:rsidRPr="005F5184" w:rsidRDefault="001B0C99" w:rsidP="001B0C99">
      <w:pPr>
        <w:shd w:val="clear" w:color="auto" w:fill="FFFFFF"/>
        <w:spacing w:line="480" w:lineRule="auto"/>
        <w:ind w:firstLine="720"/>
        <w:jc w:val="both"/>
        <w:outlineLvl w:val="3"/>
        <w:rPr>
          <w:rFonts w:cs="Arial"/>
          <w:lang w:val="en"/>
        </w:rPr>
      </w:pPr>
      <w:r>
        <w:rPr>
          <w:rFonts w:cs="Arial"/>
          <w:lang w:val="en"/>
        </w:rPr>
        <w:t xml:space="preserve">1. </w:t>
      </w:r>
      <w:r w:rsidRPr="005F5184">
        <w:rPr>
          <w:rFonts w:cs="Arial"/>
          <w:lang w:val="en"/>
        </w:rPr>
        <w:t xml:space="preserve">Subdivision (c) of section 79-9.4 of the Regulations of the Commissioner of Education </w:t>
      </w:r>
      <w:r>
        <w:rPr>
          <w:rFonts w:cs="Arial"/>
          <w:lang w:val="en"/>
        </w:rPr>
        <w:t>is</w:t>
      </w:r>
      <w:r w:rsidRPr="005F5184">
        <w:rPr>
          <w:rFonts w:cs="Arial"/>
          <w:lang w:val="en"/>
        </w:rPr>
        <w:t xml:space="preserve"> amended, effective </w:t>
      </w:r>
      <w:r>
        <w:rPr>
          <w:rFonts w:cs="Arial"/>
          <w:lang w:val="en"/>
        </w:rPr>
        <w:t>March 17, 2014</w:t>
      </w:r>
      <w:r w:rsidRPr="005F5184">
        <w:rPr>
          <w:rFonts w:cs="Arial"/>
          <w:lang w:val="en"/>
        </w:rPr>
        <w:t>, as follows:</w:t>
      </w:r>
    </w:p>
    <w:p w:rsidR="001B0C99" w:rsidRPr="00A3747C" w:rsidRDefault="001B0C99" w:rsidP="001B0C99">
      <w:pPr>
        <w:shd w:val="clear" w:color="auto" w:fill="FFFFFF"/>
        <w:spacing w:line="480" w:lineRule="auto"/>
        <w:ind w:firstLine="741"/>
        <w:jc w:val="both"/>
        <w:rPr>
          <w:rFonts w:cs="Arial"/>
          <w:lang w:val="en"/>
        </w:rPr>
      </w:pPr>
      <w:r w:rsidRPr="00676299" w:rsidDel="006E41C3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 xml:space="preserve">(c) </w:t>
      </w:r>
      <w:r w:rsidRPr="00A3747C">
        <w:rPr>
          <w:rFonts w:cs="Arial"/>
          <w:lang w:val="en"/>
        </w:rPr>
        <w:t xml:space="preserve">The limited permit in mental health counseling shall be valid for a period of not more than 24 months, provided that the limited permit may be extended for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an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</w:t>
      </w:r>
      <w:r w:rsidRPr="005F5184">
        <w:rPr>
          <w:rFonts w:cs="Arial"/>
          <w:u w:val="single"/>
          <w:lang w:val="en"/>
        </w:rPr>
        <w:t>no more than two</w:t>
      </w:r>
      <w:r w:rsidRPr="00A3747C">
        <w:rPr>
          <w:rFonts w:cs="Arial"/>
          <w:lang w:val="en"/>
        </w:rPr>
        <w:t xml:space="preserve"> additional 12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months</w:t>
      </w:r>
      <w:r>
        <w:rPr>
          <w:rFonts w:cs="Arial"/>
          <w:lang w:val="en"/>
        </w:rPr>
        <w:t xml:space="preserve">] </w:t>
      </w:r>
      <w:r w:rsidRPr="005F5184">
        <w:rPr>
          <w:rFonts w:cs="Arial"/>
          <w:u w:val="single"/>
          <w:lang w:val="en"/>
        </w:rPr>
        <w:t>month periods</w:t>
      </w:r>
      <w:r w:rsidRPr="00A3747C">
        <w:rPr>
          <w:rFonts w:cs="Arial"/>
          <w:lang w:val="en"/>
        </w:rPr>
        <w:t xml:space="preserve"> at the discretion of the department if the department determines that the permit holder has made good faith efforts to successfully complete the examination and/or experience requirements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within the first 24 months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but has not passed the licensing examination or completed the experience requirement, or has other good cause as determined by the department for not completing the examination and/or experience requirement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within the first 24 months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, and provided further that the time authorized by such limited permit and subsequent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extension</w:t>
      </w:r>
      <w:r>
        <w:rPr>
          <w:rFonts w:cs="Arial"/>
          <w:lang w:val="en"/>
        </w:rPr>
        <w:t xml:space="preserve">] </w:t>
      </w:r>
      <w:r>
        <w:rPr>
          <w:rFonts w:cs="Arial"/>
          <w:u w:val="single"/>
          <w:lang w:val="en"/>
        </w:rPr>
        <w:t>extensions</w:t>
      </w:r>
      <w:r w:rsidRPr="00A3747C">
        <w:rPr>
          <w:rFonts w:cs="Arial"/>
          <w:lang w:val="en"/>
        </w:rPr>
        <w:t xml:space="preserve"> shall not exceed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36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</w:t>
      </w:r>
      <w:r w:rsidRPr="005F5184">
        <w:rPr>
          <w:rFonts w:cs="Arial"/>
          <w:u w:val="single"/>
          <w:lang w:val="en"/>
        </w:rPr>
        <w:t>48</w:t>
      </w:r>
      <w:r w:rsidRPr="00A3747C">
        <w:rPr>
          <w:rFonts w:cs="Arial"/>
          <w:lang w:val="en"/>
        </w:rPr>
        <w:t xml:space="preserve"> months total. </w:t>
      </w:r>
    </w:p>
    <w:p w:rsidR="001B0C99" w:rsidRPr="00A3747C" w:rsidRDefault="001B0C99" w:rsidP="001B0C99">
      <w:pPr>
        <w:shd w:val="clear" w:color="auto" w:fill="FFFFFF"/>
        <w:spacing w:line="480" w:lineRule="auto"/>
        <w:ind w:firstLine="720"/>
        <w:jc w:val="both"/>
        <w:outlineLvl w:val="3"/>
        <w:rPr>
          <w:rFonts w:cs="Arial"/>
          <w:lang w:val="en"/>
        </w:rPr>
      </w:pPr>
      <w:r>
        <w:rPr>
          <w:rFonts w:cs="Arial"/>
          <w:lang w:val="en"/>
        </w:rPr>
        <w:t xml:space="preserve">2. </w:t>
      </w:r>
      <w:r w:rsidRPr="00A3747C">
        <w:rPr>
          <w:rFonts w:cs="Arial"/>
          <w:lang w:val="en"/>
        </w:rPr>
        <w:t>Subdivision (c) of section 79-</w:t>
      </w:r>
      <w:r>
        <w:rPr>
          <w:rFonts w:cs="Arial"/>
          <w:lang w:val="en"/>
        </w:rPr>
        <w:t>10</w:t>
      </w:r>
      <w:r w:rsidRPr="00A3747C">
        <w:rPr>
          <w:rFonts w:cs="Arial"/>
          <w:lang w:val="en"/>
        </w:rPr>
        <w:t xml:space="preserve">.4 of the Regulations of the Commissioner of Education </w:t>
      </w:r>
      <w:r>
        <w:rPr>
          <w:rFonts w:cs="Arial"/>
          <w:lang w:val="en"/>
        </w:rPr>
        <w:t>is</w:t>
      </w:r>
      <w:r w:rsidRPr="00A3747C">
        <w:rPr>
          <w:rFonts w:cs="Arial"/>
          <w:lang w:val="en"/>
        </w:rPr>
        <w:t xml:space="preserve"> amended, effective </w:t>
      </w:r>
      <w:r>
        <w:rPr>
          <w:rFonts w:cs="Arial"/>
          <w:lang w:val="en"/>
        </w:rPr>
        <w:t>March 17, 2014</w:t>
      </w:r>
      <w:r w:rsidRPr="00A3747C">
        <w:rPr>
          <w:rFonts w:cs="Arial"/>
          <w:lang w:val="en"/>
        </w:rPr>
        <w:t>, as follows:</w:t>
      </w:r>
    </w:p>
    <w:p w:rsidR="001B0C99" w:rsidRPr="005F5184" w:rsidRDefault="001B0C99" w:rsidP="001B0C99">
      <w:pPr>
        <w:shd w:val="clear" w:color="auto" w:fill="FFFFFF"/>
        <w:spacing w:line="480" w:lineRule="auto"/>
        <w:ind w:firstLine="741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(c) </w:t>
      </w:r>
      <w:r w:rsidRPr="00676299">
        <w:rPr>
          <w:rFonts w:cs="Arial"/>
          <w:lang w:val="en"/>
        </w:rPr>
        <w:t>The limited permit in marriage and family therapy</w:t>
      </w:r>
      <w:r w:rsidRPr="00A3747C">
        <w:rPr>
          <w:rFonts w:cs="Arial"/>
          <w:lang w:val="en"/>
        </w:rPr>
        <w:t xml:space="preserve"> shall be valid for a period of not more than</w:t>
      </w:r>
      <w:r>
        <w:rPr>
          <w:rFonts w:cs="Arial"/>
          <w:lang w:val="en"/>
        </w:rPr>
        <w:t xml:space="preserve"> [12]</w:t>
      </w:r>
      <w:r w:rsidRPr="00A3747C">
        <w:rPr>
          <w:rFonts w:cs="Arial"/>
          <w:lang w:val="en"/>
        </w:rPr>
        <w:t xml:space="preserve"> </w:t>
      </w:r>
      <w:r w:rsidRPr="005F5184">
        <w:rPr>
          <w:rFonts w:cs="Arial"/>
          <w:u w:val="single"/>
          <w:lang w:val="en"/>
        </w:rPr>
        <w:t>24</w:t>
      </w:r>
      <w:r w:rsidRPr="00A3747C">
        <w:rPr>
          <w:rFonts w:cs="Arial"/>
          <w:lang w:val="en"/>
        </w:rPr>
        <w:t xml:space="preserve"> months, provided that the limited permit may be extended for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an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</w:t>
      </w:r>
      <w:r w:rsidRPr="000025C7">
        <w:rPr>
          <w:rFonts w:cs="Arial"/>
          <w:u w:val="single"/>
          <w:lang w:val="en"/>
        </w:rPr>
        <w:t>no more than two</w:t>
      </w:r>
      <w:r w:rsidRPr="00A3747C">
        <w:rPr>
          <w:rFonts w:cs="Arial"/>
          <w:lang w:val="en"/>
        </w:rPr>
        <w:t xml:space="preserve"> additional 12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months</w:t>
      </w:r>
      <w:r>
        <w:rPr>
          <w:rFonts w:cs="Arial"/>
          <w:lang w:val="en"/>
        </w:rPr>
        <w:t xml:space="preserve">] </w:t>
      </w:r>
      <w:r w:rsidRPr="000025C7">
        <w:rPr>
          <w:rFonts w:cs="Arial"/>
          <w:u w:val="single"/>
          <w:lang w:val="en"/>
        </w:rPr>
        <w:t>month periods</w:t>
      </w:r>
      <w:r w:rsidRPr="00A3747C">
        <w:rPr>
          <w:rFonts w:cs="Arial"/>
          <w:lang w:val="en"/>
        </w:rPr>
        <w:t xml:space="preserve"> at the discretion of the department if the department determines that the permit holder has made good faith efforts to successfully complete the examination and/or experience requirements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 xml:space="preserve">within the first </w:t>
      </w:r>
      <w:r>
        <w:rPr>
          <w:rFonts w:cs="Arial"/>
          <w:lang w:val="en"/>
        </w:rPr>
        <w:t>12</w:t>
      </w:r>
      <w:r w:rsidRPr="00A3747C">
        <w:rPr>
          <w:rFonts w:cs="Arial"/>
          <w:lang w:val="en"/>
        </w:rPr>
        <w:t xml:space="preserve"> months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but has not passed the licensing examination or completed the </w:t>
      </w:r>
      <w:r w:rsidRPr="00A3747C">
        <w:rPr>
          <w:rFonts w:cs="Arial"/>
          <w:lang w:val="en"/>
        </w:rPr>
        <w:lastRenderedPageBreak/>
        <w:t xml:space="preserve">experience requirement, or has other good cause as determined by the department for not completing the examination and/or experience requirement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 xml:space="preserve">within the first </w:t>
      </w:r>
      <w:r>
        <w:rPr>
          <w:rFonts w:cs="Arial"/>
          <w:lang w:val="en"/>
        </w:rPr>
        <w:t>12</w:t>
      </w:r>
      <w:r w:rsidRPr="00A3747C">
        <w:rPr>
          <w:rFonts w:cs="Arial"/>
          <w:lang w:val="en"/>
        </w:rPr>
        <w:t xml:space="preserve"> months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, and provided further that the time authorized by such limited permit and subsequent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extension</w:t>
      </w:r>
      <w:r>
        <w:rPr>
          <w:rFonts w:cs="Arial"/>
          <w:lang w:val="en"/>
        </w:rPr>
        <w:t xml:space="preserve">] </w:t>
      </w:r>
      <w:r>
        <w:rPr>
          <w:rFonts w:cs="Arial"/>
          <w:u w:val="single"/>
          <w:lang w:val="en"/>
        </w:rPr>
        <w:t>extensions</w:t>
      </w:r>
      <w:r w:rsidRPr="00A3747C">
        <w:rPr>
          <w:rFonts w:cs="Arial"/>
          <w:lang w:val="en"/>
        </w:rPr>
        <w:t xml:space="preserve"> shall not exceed </w:t>
      </w:r>
      <w:r>
        <w:rPr>
          <w:rFonts w:cs="Arial"/>
          <w:lang w:val="en"/>
        </w:rPr>
        <w:t>[24]</w:t>
      </w:r>
      <w:r w:rsidRPr="00A3747C">
        <w:rPr>
          <w:rFonts w:cs="Arial"/>
          <w:lang w:val="en"/>
        </w:rPr>
        <w:t xml:space="preserve"> </w:t>
      </w:r>
      <w:r w:rsidRPr="000025C7">
        <w:rPr>
          <w:rFonts w:cs="Arial"/>
          <w:u w:val="single"/>
          <w:lang w:val="en"/>
        </w:rPr>
        <w:t>48</w:t>
      </w:r>
      <w:r w:rsidRPr="00A3747C">
        <w:rPr>
          <w:rFonts w:cs="Arial"/>
          <w:lang w:val="en"/>
        </w:rPr>
        <w:t xml:space="preserve"> months total.</w:t>
      </w:r>
      <w:r w:rsidRPr="005F5184">
        <w:rPr>
          <w:rFonts w:cs="Arial"/>
          <w:lang w:val="en"/>
        </w:rPr>
        <w:t xml:space="preserve"> </w:t>
      </w:r>
    </w:p>
    <w:p w:rsidR="001B0C99" w:rsidRPr="00A3747C" w:rsidRDefault="001B0C99" w:rsidP="001B0C99">
      <w:pPr>
        <w:shd w:val="clear" w:color="auto" w:fill="FFFFFF"/>
        <w:spacing w:line="480" w:lineRule="auto"/>
        <w:ind w:firstLine="720"/>
        <w:jc w:val="both"/>
        <w:outlineLvl w:val="3"/>
        <w:rPr>
          <w:rFonts w:cs="Arial"/>
          <w:lang w:val="en"/>
        </w:rPr>
      </w:pPr>
      <w:r>
        <w:rPr>
          <w:rFonts w:cs="Arial"/>
          <w:lang w:val="en"/>
        </w:rPr>
        <w:t xml:space="preserve">3. </w:t>
      </w:r>
      <w:r w:rsidRPr="00A3747C">
        <w:rPr>
          <w:rFonts w:cs="Arial"/>
          <w:lang w:val="en"/>
        </w:rPr>
        <w:t>Subdivision (c) of section 79-</w:t>
      </w:r>
      <w:r>
        <w:rPr>
          <w:rFonts w:cs="Arial"/>
          <w:lang w:val="en"/>
        </w:rPr>
        <w:t>11</w:t>
      </w:r>
      <w:r w:rsidRPr="00A3747C">
        <w:rPr>
          <w:rFonts w:cs="Arial"/>
          <w:lang w:val="en"/>
        </w:rPr>
        <w:t xml:space="preserve">.4 of the Regulations of the Commissioner of Education </w:t>
      </w:r>
      <w:r>
        <w:rPr>
          <w:rFonts w:cs="Arial"/>
          <w:lang w:val="en"/>
        </w:rPr>
        <w:t>is</w:t>
      </w:r>
      <w:r w:rsidRPr="00A3747C">
        <w:rPr>
          <w:rFonts w:cs="Arial"/>
          <w:lang w:val="en"/>
        </w:rPr>
        <w:t xml:space="preserve"> amended, effective </w:t>
      </w:r>
      <w:r>
        <w:rPr>
          <w:rFonts w:cs="Arial"/>
          <w:lang w:val="en"/>
        </w:rPr>
        <w:t>March 17, 2014</w:t>
      </w:r>
      <w:r w:rsidRPr="00A3747C">
        <w:rPr>
          <w:rFonts w:cs="Arial"/>
          <w:lang w:val="en"/>
        </w:rPr>
        <w:t>, as follows:</w:t>
      </w:r>
    </w:p>
    <w:p w:rsidR="001B0C99" w:rsidRPr="00A3747C" w:rsidRDefault="001B0C99" w:rsidP="001B0C99">
      <w:pPr>
        <w:shd w:val="clear" w:color="auto" w:fill="FFFFFF"/>
        <w:spacing w:line="480" w:lineRule="auto"/>
        <w:ind w:firstLine="741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(c) </w:t>
      </w:r>
      <w:r w:rsidRPr="00A3747C">
        <w:rPr>
          <w:rFonts w:cs="Arial"/>
          <w:lang w:val="en"/>
        </w:rPr>
        <w:t xml:space="preserve">The limited permit in </w:t>
      </w:r>
      <w:r>
        <w:rPr>
          <w:rFonts w:cs="Arial"/>
          <w:lang w:val="en"/>
        </w:rPr>
        <w:t>creative arts</w:t>
      </w:r>
      <w:r w:rsidRPr="00A3747C">
        <w:rPr>
          <w:rFonts w:cs="Arial"/>
          <w:lang w:val="en"/>
        </w:rPr>
        <w:t xml:space="preserve"> therapy shall be valid for a period of not more than</w:t>
      </w:r>
      <w:r>
        <w:rPr>
          <w:rFonts w:cs="Arial"/>
          <w:lang w:val="en"/>
        </w:rPr>
        <w:t xml:space="preserve"> [12]</w:t>
      </w:r>
      <w:r w:rsidRPr="00A3747C">
        <w:rPr>
          <w:rFonts w:cs="Arial"/>
          <w:lang w:val="en"/>
        </w:rPr>
        <w:t xml:space="preserve"> </w:t>
      </w:r>
      <w:r w:rsidRPr="006E41C3">
        <w:rPr>
          <w:rFonts w:cs="Arial"/>
          <w:u w:val="single"/>
          <w:lang w:val="en"/>
        </w:rPr>
        <w:t>24</w:t>
      </w:r>
      <w:r w:rsidRPr="00A3747C">
        <w:rPr>
          <w:rFonts w:cs="Arial"/>
          <w:lang w:val="en"/>
        </w:rPr>
        <w:t xml:space="preserve"> months, provided that the limited permit may be extended for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an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</w:t>
      </w:r>
      <w:r w:rsidRPr="000025C7">
        <w:rPr>
          <w:rFonts w:cs="Arial"/>
          <w:u w:val="single"/>
          <w:lang w:val="en"/>
        </w:rPr>
        <w:t>no more than two</w:t>
      </w:r>
      <w:r w:rsidRPr="00A3747C">
        <w:rPr>
          <w:rFonts w:cs="Arial"/>
          <w:lang w:val="en"/>
        </w:rPr>
        <w:t xml:space="preserve"> additional 12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months</w:t>
      </w:r>
      <w:r>
        <w:rPr>
          <w:rFonts w:cs="Arial"/>
          <w:lang w:val="en"/>
        </w:rPr>
        <w:t xml:space="preserve">] </w:t>
      </w:r>
      <w:r w:rsidRPr="000025C7">
        <w:rPr>
          <w:rFonts w:cs="Arial"/>
          <w:u w:val="single"/>
          <w:lang w:val="en"/>
        </w:rPr>
        <w:t>month periods</w:t>
      </w:r>
      <w:r w:rsidRPr="00A3747C">
        <w:rPr>
          <w:rFonts w:cs="Arial"/>
          <w:lang w:val="en"/>
        </w:rPr>
        <w:t xml:space="preserve"> at the discretion of the department if the department determines that the permit holder has made good faith efforts to successfully complete the examination and/or experience requirements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 xml:space="preserve">within the first </w:t>
      </w:r>
      <w:r>
        <w:rPr>
          <w:rFonts w:cs="Arial"/>
          <w:lang w:val="en"/>
        </w:rPr>
        <w:t>12</w:t>
      </w:r>
      <w:r w:rsidRPr="00A3747C">
        <w:rPr>
          <w:rFonts w:cs="Arial"/>
          <w:lang w:val="en"/>
        </w:rPr>
        <w:t xml:space="preserve"> months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but has not passed the licensing examination or completed the experience requirement, or has other good cause as determined by the department for not completing the examination and/or experience requirement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 xml:space="preserve">within the first </w:t>
      </w:r>
      <w:r>
        <w:rPr>
          <w:rFonts w:cs="Arial"/>
          <w:lang w:val="en"/>
        </w:rPr>
        <w:t>12</w:t>
      </w:r>
      <w:r w:rsidRPr="00A3747C">
        <w:rPr>
          <w:rFonts w:cs="Arial"/>
          <w:lang w:val="en"/>
        </w:rPr>
        <w:t xml:space="preserve"> months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, and provided further that the time authorized by such limited permit and subsequent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extension</w:t>
      </w:r>
      <w:r>
        <w:rPr>
          <w:rFonts w:cs="Arial"/>
          <w:lang w:val="en"/>
        </w:rPr>
        <w:t xml:space="preserve">] </w:t>
      </w:r>
      <w:r>
        <w:rPr>
          <w:rFonts w:cs="Arial"/>
          <w:u w:val="single"/>
          <w:lang w:val="en"/>
        </w:rPr>
        <w:t>extensions</w:t>
      </w:r>
      <w:r w:rsidRPr="00A3747C">
        <w:rPr>
          <w:rFonts w:cs="Arial"/>
          <w:lang w:val="en"/>
        </w:rPr>
        <w:t xml:space="preserve"> shall not exceed </w:t>
      </w:r>
      <w:r>
        <w:rPr>
          <w:rFonts w:cs="Arial"/>
          <w:lang w:val="en"/>
        </w:rPr>
        <w:t>[24]</w:t>
      </w:r>
      <w:r w:rsidRPr="00A3747C">
        <w:rPr>
          <w:rFonts w:cs="Arial"/>
          <w:lang w:val="en"/>
        </w:rPr>
        <w:t xml:space="preserve"> </w:t>
      </w:r>
      <w:r w:rsidRPr="000025C7">
        <w:rPr>
          <w:rFonts w:cs="Arial"/>
          <w:u w:val="single"/>
          <w:lang w:val="en"/>
        </w:rPr>
        <w:t>48</w:t>
      </w:r>
      <w:r w:rsidRPr="00A3747C">
        <w:rPr>
          <w:rFonts w:cs="Arial"/>
          <w:lang w:val="en"/>
        </w:rPr>
        <w:t xml:space="preserve"> months total. </w:t>
      </w:r>
    </w:p>
    <w:p w:rsidR="001B0C99" w:rsidRPr="00A3747C" w:rsidRDefault="001B0C99" w:rsidP="001B0C99">
      <w:pPr>
        <w:shd w:val="clear" w:color="auto" w:fill="FFFFFF"/>
        <w:spacing w:line="480" w:lineRule="auto"/>
        <w:ind w:firstLine="720"/>
        <w:jc w:val="both"/>
        <w:outlineLvl w:val="3"/>
        <w:rPr>
          <w:rFonts w:cs="Arial"/>
          <w:lang w:val="en"/>
        </w:rPr>
      </w:pPr>
      <w:r>
        <w:rPr>
          <w:rFonts w:cs="Arial"/>
          <w:lang w:val="en"/>
        </w:rPr>
        <w:t xml:space="preserve">4. </w:t>
      </w:r>
      <w:r w:rsidRPr="00A3747C">
        <w:rPr>
          <w:rFonts w:cs="Arial"/>
          <w:lang w:val="en"/>
        </w:rPr>
        <w:t>Subdivision (c) of section 79-</w:t>
      </w:r>
      <w:r>
        <w:rPr>
          <w:rFonts w:cs="Arial"/>
          <w:lang w:val="en"/>
        </w:rPr>
        <w:t>12</w:t>
      </w:r>
      <w:r w:rsidRPr="00A3747C">
        <w:rPr>
          <w:rFonts w:cs="Arial"/>
          <w:lang w:val="en"/>
        </w:rPr>
        <w:t xml:space="preserve">.4 of the Regulations of the Commissioner of Education </w:t>
      </w:r>
      <w:r>
        <w:rPr>
          <w:rFonts w:cs="Arial"/>
          <w:lang w:val="en"/>
        </w:rPr>
        <w:t>is</w:t>
      </w:r>
      <w:r w:rsidRPr="00A3747C">
        <w:rPr>
          <w:rFonts w:cs="Arial"/>
          <w:lang w:val="en"/>
        </w:rPr>
        <w:t xml:space="preserve"> amended, effective </w:t>
      </w:r>
      <w:r>
        <w:rPr>
          <w:rFonts w:cs="Arial"/>
          <w:lang w:val="en"/>
        </w:rPr>
        <w:t>March 17, 2014</w:t>
      </w:r>
      <w:r w:rsidRPr="00A3747C">
        <w:rPr>
          <w:rFonts w:cs="Arial"/>
          <w:lang w:val="en"/>
        </w:rPr>
        <w:t>, 2013, as follows:</w:t>
      </w:r>
    </w:p>
    <w:p w:rsidR="001B0C99" w:rsidRPr="00A3747C" w:rsidRDefault="001B0C99" w:rsidP="001B0C99">
      <w:pPr>
        <w:shd w:val="clear" w:color="auto" w:fill="FFFFFF"/>
        <w:spacing w:line="480" w:lineRule="auto"/>
        <w:ind w:firstLine="741"/>
        <w:jc w:val="both"/>
        <w:rPr>
          <w:rFonts w:cs="Arial"/>
          <w:lang w:val="en"/>
        </w:rPr>
      </w:pPr>
      <w:r>
        <w:rPr>
          <w:rFonts w:cs="Arial"/>
          <w:lang w:val="en"/>
        </w:rPr>
        <w:t xml:space="preserve">(c) </w:t>
      </w:r>
      <w:r w:rsidRPr="00A3747C">
        <w:rPr>
          <w:rFonts w:cs="Arial"/>
          <w:lang w:val="en"/>
        </w:rPr>
        <w:t xml:space="preserve">The limited permit in </w:t>
      </w:r>
      <w:r>
        <w:rPr>
          <w:rFonts w:cs="Arial"/>
          <w:lang w:val="en"/>
        </w:rPr>
        <w:t>psychoanalysis</w:t>
      </w:r>
      <w:r w:rsidRPr="00A3747C">
        <w:rPr>
          <w:rFonts w:cs="Arial"/>
          <w:lang w:val="en"/>
        </w:rPr>
        <w:t xml:space="preserve"> shall be valid for a period of not more than</w:t>
      </w:r>
      <w:r>
        <w:rPr>
          <w:rFonts w:cs="Arial"/>
          <w:lang w:val="en"/>
        </w:rPr>
        <w:t xml:space="preserve"> [12]</w:t>
      </w:r>
      <w:r w:rsidRPr="00A3747C">
        <w:rPr>
          <w:rFonts w:cs="Arial"/>
          <w:lang w:val="en"/>
        </w:rPr>
        <w:t xml:space="preserve"> </w:t>
      </w:r>
      <w:r w:rsidRPr="006E41C3">
        <w:rPr>
          <w:rFonts w:cs="Arial"/>
          <w:u w:val="single"/>
          <w:lang w:val="en"/>
        </w:rPr>
        <w:t>24</w:t>
      </w:r>
      <w:r w:rsidRPr="00A3747C">
        <w:rPr>
          <w:rFonts w:cs="Arial"/>
          <w:lang w:val="en"/>
        </w:rPr>
        <w:t xml:space="preserve"> months, provided that the limited permit may be extended for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an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</w:t>
      </w:r>
      <w:r w:rsidRPr="000025C7">
        <w:rPr>
          <w:rFonts w:cs="Arial"/>
          <w:u w:val="single"/>
          <w:lang w:val="en"/>
        </w:rPr>
        <w:t>no more than two</w:t>
      </w:r>
      <w:r w:rsidRPr="00A3747C">
        <w:rPr>
          <w:rFonts w:cs="Arial"/>
          <w:lang w:val="en"/>
        </w:rPr>
        <w:t xml:space="preserve"> additional 12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months</w:t>
      </w:r>
      <w:r>
        <w:rPr>
          <w:rFonts w:cs="Arial"/>
          <w:lang w:val="en"/>
        </w:rPr>
        <w:t xml:space="preserve">] </w:t>
      </w:r>
      <w:r w:rsidRPr="000025C7">
        <w:rPr>
          <w:rFonts w:cs="Arial"/>
          <w:u w:val="single"/>
          <w:lang w:val="en"/>
        </w:rPr>
        <w:t>month periods</w:t>
      </w:r>
      <w:r w:rsidRPr="00A3747C">
        <w:rPr>
          <w:rFonts w:cs="Arial"/>
          <w:lang w:val="en"/>
        </w:rPr>
        <w:t xml:space="preserve"> at the discretion of the department if the department determines that the permit holder has made good faith efforts to successfully complete the examination and/or experience requirements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 xml:space="preserve">within the first </w:t>
      </w:r>
      <w:r>
        <w:rPr>
          <w:rFonts w:cs="Arial"/>
          <w:lang w:val="en"/>
        </w:rPr>
        <w:lastRenderedPageBreak/>
        <w:t>12</w:t>
      </w:r>
      <w:r w:rsidRPr="00A3747C">
        <w:rPr>
          <w:rFonts w:cs="Arial"/>
          <w:lang w:val="en"/>
        </w:rPr>
        <w:t xml:space="preserve"> months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 but has not passed the licensing examination or completed the experience requirement, or has other good cause as determined by the department for not completing the examination and/or experience requirement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 xml:space="preserve">within the first </w:t>
      </w:r>
      <w:r>
        <w:rPr>
          <w:rFonts w:cs="Arial"/>
          <w:lang w:val="en"/>
        </w:rPr>
        <w:t>12</w:t>
      </w:r>
      <w:r w:rsidRPr="00A3747C">
        <w:rPr>
          <w:rFonts w:cs="Arial"/>
          <w:lang w:val="en"/>
        </w:rPr>
        <w:t xml:space="preserve"> months</w:t>
      </w:r>
      <w:r>
        <w:rPr>
          <w:rFonts w:cs="Arial"/>
          <w:lang w:val="en"/>
        </w:rPr>
        <w:t>]</w:t>
      </w:r>
      <w:r w:rsidRPr="00A3747C">
        <w:rPr>
          <w:rFonts w:cs="Arial"/>
          <w:lang w:val="en"/>
        </w:rPr>
        <w:t xml:space="preserve">, and provided further that the time authorized by such limited permit and subsequent </w:t>
      </w:r>
      <w:r>
        <w:rPr>
          <w:rFonts w:cs="Arial"/>
          <w:lang w:val="en"/>
        </w:rPr>
        <w:t>[</w:t>
      </w:r>
      <w:r w:rsidRPr="00A3747C">
        <w:rPr>
          <w:rFonts w:cs="Arial"/>
          <w:lang w:val="en"/>
        </w:rPr>
        <w:t>extension</w:t>
      </w:r>
      <w:r>
        <w:rPr>
          <w:rFonts w:cs="Arial"/>
          <w:lang w:val="en"/>
        </w:rPr>
        <w:t xml:space="preserve">] </w:t>
      </w:r>
      <w:r>
        <w:rPr>
          <w:rFonts w:cs="Arial"/>
          <w:u w:val="single"/>
          <w:lang w:val="en"/>
        </w:rPr>
        <w:t>extensions</w:t>
      </w:r>
      <w:r w:rsidRPr="00A3747C">
        <w:rPr>
          <w:rFonts w:cs="Arial"/>
          <w:lang w:val="en"/>
        </w:rPr>
        <w:t xml:space="preserve"> shall not exceed </w:t>
      </w:r>
      <w:r>
        <w:rPr>
          <w:rFonts w:cs="Arial"/>
          <w:lang w:val="en"/>
        </w:rPr>
        <w:t>[24]</w:t>
      </w:r>
      <w:r w:rsidRPr="00A3747C">
        <w:rPr>
          <w:rFonts w:cs="Arial"/>
          <w:lang w:val="en"/>
        </w:rPr>
        <w:t xml:space="preserve"> </w:t>
      </w:r>
      <w:r w:rsidRPr="000025C7">
        <w:rPr>
          <w:rFonts w:cs="Arial"/>
          <w:u w:val="single"/>
          <w:lang w:val="en"/>
        </w:rPr>
        <w:t>48</w:t>
      </w:r>
      <w:r w:rsidRPr="00A3747C">
        <w:rPr>
          <w:rFonts w:cs="Arial"/>
          <w:lang w:val="en"/>
        </w:rPr>
        <w:t xml:space="preserve"> months total. </w:t>
      </w:r>
    </w:p>
    <w:p w:rsidR="001B0C99" w:rsidRPr="005F5184" w:rsidRDefault="001B0C99" w:rsidP="001B0C99">
      <w:pPr>
        <w:shd w:val="clear" w:color="auto" w:fill="FFFFFF"/>
        <w:spacing w:line="480" w:lineRule="auto"/>
        <w:jc w:val="both"/>
        <w:rPr>
          <w:rFonts w:cs="Arial"/>
          <w:lang w:val="en"/>
        </w:rPr>
      </w:pPr>
    </w:p>
    <w:p w:rsidR="001B0C99" w:rsidRPr="005F5184" w:rsidRDefault="001B0C99" w:rsidP="001B0C99">
      <w:pPr>
        <w:shd w:val="clear" w:color="auto" w:fill="FFFFFF"/>
        <w:spacing w:line="480" w:lineRule="auto"/>
        <w:jc w:val="both"/>
        <w:rPr>
          <w:rFonts w:cs="Arial"/>
          <w:lang w:val="en"/>
        </w:rPr>
      </w:pPr>
    </w:p>
    <w:p w:rsidR="005D01DD" w:rsidRDefault="005D01DD">
      <w:bookmarkStart w:id="0" w:name="_GoBack"/>
      <w:bookmarkEnd w:id="0"/>
    </w:p>
    <w:sectPr w:rsidR="005D0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99"/>
    <w:rsid w:val="0000166B"/>
    <w:rsid w:val="00003E90"/>
    <w:rsid w:val="00006455"/>
    <w:rsid w:val="000107F1"/>
    <w:rsid w:val="00026488"/>
    <w:rsid w:val="00026DD8"/>
    <w:rsid w:val="00034062"/>
    <w:rsid w:val="0003601F"/>
    <w:rsid w:val="00036483"/>
    <w:rsid w:val="0003779E"/>
    <w:rsid w:val="00037DBD"/>
    <w:rsid w:val="00040A65"/>
    <w:rsid w:val="000425E6"/>
    <w:rsid w:val="00046B6E"/>
    <w:rsid w:val="00052FDF"/>
    <w:rsid w:val="00056A4A"/>
    <w:rsid w:val="000657CE"/>
    <w:rsid w:val="00067FA0"/>
    <w:rsid w:val="000733C7"/>
    <w:rsid w:val="000912EC"/>
    <w:rsid w:val="00094D54"/>
    <w:rsid w:val="00096F20"/>
    <w:rsid w:val="000A40F1"/>
    <w:rsid w:val="000A47D8"/>
    <w:rsid w:val="000A5A5E"/>
    <w:rsid w:val="000B6F05"/>
    <w:rsid w:val="000C210E"/>
    <w:rsid w:val="000D2C13"/>
    <w:rsid w:val="000D486C"/>
    <w:rsid w:val="000E0BD8"/>
    <w:rsid w:val="000E58DB"/>
    <w:rsid w:val="000E5EE1"/>
    <w:rsid w:val="000F0165"/>
    <w:rsid w:val="000F7400"/>
    <w:rsid w:val="001000A9"/>
    <w:rsid w:val="0010601D"/>
    <w:rsid w:val="00106115"/>
    <w:rsid w:val="00111B77"/>
    <w:rsid w:val="00113376"/>
    <w:rsid w:val="00115F81"/>
    <w:rsid w:val="001238E5"/>
    <w:rsid w:val="00123C9B"/>
    <w:rsid w:val="00123CFF"/>
    <w:rsid w:val="00132F18"/>
    <w:rsid w:val="001426BC"/>
    <w:rsid w:val="00170894"/>
    <w:rsid w:val="00172127"/>
    <w:rsid w:val="001721A6"/>
    <w:rsid w:val="00172AB3"/>
    <w:rsid w:val="00196AD4"/>
    <w:rsid w:val="00197C8C"/>
    <w:rsid w:val="001A42C2"/>
    <w:rsid w:val="001B0C99"/>
    <w:rsid w:val="001B60D9"/>
    <w:rsid w:val="001B7095"/>
    <w:rsid w:val="001B7FCD"/>
    <w:rsid w:val="001C4809"/>
    <w:rsid w:val="001C57DD"/>
    <w:rsid w:val="001C5837"/>
    <w:rsid w:val="001D5F9A"/>
    <w:rsid w:val="001D6445"/>
    <w:rsid w:val="001E30D4"/>
    <w:rsid w:val="001E48F6"/>
    <w:rsid w:val="001E5F4E"/>
    <w:rsid w:val="001F046E"/>
    <w:rsid w:val="001F2B96"/>
    <w:rsid w:val="001F5DF8"/>
    <w:rsid w:val="001F5FCF"/>
    <w:rsid w:val="001F619A"/>
    <w:rsid w:val="002009A4"/>
    <w:rsid w:val="00207AA1"/>
    <w:rsid w:val="002224A0"/>
    <w:rsid w:val="002262B4"/>
    <w:rsid w:val="00230BDC"/>
    <w:rsid w:val="00231C33"/>
    <w:rsid w:val="00232A73"/>
    <w:rsid w:val="00237AEC"/>
    <w:rsid w:val="0024148D"/>
    <w:rsid w:val="00247430"/>
    <w:rsid w:val="00256865"/>
    <w:rsid w:val="002618F7"/>
    <w:rsid w:val="002654D6"/>
    <w:rsid w:val="002706FE"/>
    <w:rsid w:val="0027319A"/>
    <w:rsid w:val="0027577D"/>
    <w:rsid w:val="00277093"/>
    <w:rsid w:val="00291141"/>
    <w:rsid w:val="002A3524"/>
    <w:rsid w:val="002A6A16"/>
    <w:rsid w:val="002A7100"/>
    <w:rsid w:val="002A7A39"/>
    <w:rsid w:val="002B5001"/>
    <w:rsid w:val="002B56E8"/>
    <w:rsid w:val="002B6A13"/>
    <w:rsid w:val="002C2FE8"/>
    <w:rsid w:val="002C5EAC"/>
    <w:rsid w:val="002C5F5B"/>
    <w:rsid w:val="002D2432"/>
    <w:rsid w:val="002D4693"/>
    <w:rsid w:val="002D5848"/>
    <w:rsid w:val="002F1115"/>
    <w:rsid w:val="002F200F"/>
    <w:rsid w:val="002F53D1"/>
    <w:rsid w:val="00310DC2"/>
    <w:rsid w:val="003111C6"/>
    <w:rsid w:val="00322FD2"/>
    <w:rsid w:val="003235C5"/>
    <w:rsid w:val="003266A4"/>
    <w:rsid w:val="003267A7"/>
    <w:rsid w:val="0033178D"/>
    <w:rsid w:val="0033308D"/>
    <w:rsid w:val="003372C0"/>
    <w:rsid w:val="00347E15"/>
    <w:rsid w:val="00351088"/>
    <w:rsid w:val="00351A74"/>
    <w:rsid w:val="003616CD"/>
    <w:rsid w:val="00365979"/>
    <w:rsid w:val="00373C37"/>
    <w:rsid w:val="00376A24"/>
    <w:rsid w:val="003A291C"/>
    <w:rsid w:val="003A3E91"/>
    <w:rsid w:val="003A5D38"/>
    <w:rsid w:val="003A6226"/>
    <w:rsid w:val="003A7C5A"/>
    <w:rsid w:val="003B2230"/>
    <w:rsid w:val="003B2684"/>
    <w:rsid w:val="003B31B6"/>
    <w:rsid w:val="003B627D"/>
    <w:rsid w:val="003B6F2B"/>
    <w:rsid w:val="003C24A9"/>
    <w:rsid w:val="003C6036"/>
    <w:rsid w:val="003C688C"/>
    <w:rsid w:val="003D16A9"/>
    <w:rsid w:val="003D3C8F"/>
    <w:rsid w:val="003D49AC"/>
    <w:rsid w:val="003D5077"/>
    <w:rsid w:val="003D6C7F"/>
    <w:rsid w:val="003D7806"/>
    <w:rsid w:val="003E3AEA"/>
    <w:rsid w:val="003E3AF5"/>
    <w:rsid w:val="003F63B8"/>
    <w:rsid w:val="00401E8B"/>
    <w:rsid w:val="004168E2"/>
    <w:rsid w:val="00423A33"/>
    <w:rsid w:val="00423E78"/>
    <w:rsid w:val="00426601"/>
    <w:rsid w:val="00432388"/>
    <w:rsid w:val="0043597B"/>
    <w:rsid w:val="004402FA"/>
    <w:rsid w:val="00450824"/>
    <w:rsid w:val="004516A5"/>
    <w:rsid w:val="00451859"/>
    <w:rsid w:val="00451C27"/>
    <w:rsid w:val="004535A3"/>
    <w:rsid w:val="00455CB9"/>
    <w:rsid w:val="004644DB"/>
    <w:rsid w:val="00466B2C"/>
    <w:rsid w:val="004741BB"/>
    <w:rsid w:val="00474EFA"/>
    <w:rsid w:val="00476046"/>
    <w:rsid w:val="00476164"/>
    <w:rsid w:val="004802E7"/>
    <w:rsid w:val="00480D27"/>
    <w:rsid w:val="00483E86"/>
    <w:rsid w:val="00490552"/>
    <w:rsid w:val="004934A0"/>
    <w:rsid w:val="00493B7A"/>
    <w:rsid w:val="004A36FC"/>
    <w:rsid w:val="004A469C"/>
    <w:rsid w:val="004A4900"/>
    <w:rsid w:val="004B4AF0"/>
    <w:rsid w:val="004B6281"/>
    <w:rsid w:val="004B6F5B"/>
    <w:rsid w:val="004C3906"/>
    <w:rsid w:val="004D2E37"/>
    <w:rsid w:val="004D3291"/>
    <w:rsid w:val="004D7678"/>
    <w:rsid w:val="004E768E"/>
    <w:rsid w:val="004F208D"/>
    <w:rsid w:val="004F4E56"/>
    <w:rsid w:val="004F618A"/>
    <w:rsid w:val="00500232"/>
    <w:rsid w:val="00500A29"/>
    <w:rsid w:val="00506BC5"/>
    <w:rsid w:val="005102EA"/>
    <w:rsid w:val="00511637"/>
    <w:rsid w:val="00512E19"/>
    <w:rsid w:val="00516523"/>
    <w:rsid w:val="00523AE9"/>
    <w:rsid w:val="00525091"/>
    <w:rsid w:val="00525182"/>
    <w:rsid w:val="005259D3"/>
    <w:rsid w:val="00527327"/>
    <w:rsid w:val="00530A79"/>
    <w:rsid w:val="00531335"/>
    <w:rsid w:val="00531C0E"/>
    <w:rsid w:val="005320FD"/>
    <w:rsid w:val="00533883"/>
    <w:rsid w:val="0053768F"/>
    <w:rsid w:val="00541C0A"/>
    <w:rsid w:val="00552134"/>
    <w:rsid w:val="0055251A"/>
    <w:rsid w:val="0055353A"/>
    <w:rsid w:val="00553A3F"/>
    <w:rsid w:val="00557F88"/>
    <w:rsid w:val="00574C07"/>
    <w:rsid w:val="00576301"/>
    <w:rsid w:val="005766C8"/>
    <w:rsid w:val="00583998"/>
    <w:rsid w:val="0058651A"/>
    <w:rsid w:val="00586604"/>
    <w:rsid w:val="005876DA"/>
    <w:rsid w:val="00595C75"/>
    <w:rsid w:val="00596EC4"/>
    <w:rsid w:val="005970A2"/>
    <w:rsid w:val="005A2709"/>
    <w:rsid w:val="005A65E8"/>
    <w:rsid w:val="005A743A"/>
    <w:rsid w:val="005B411C"/>
    <w:rsid w:val="005B6794"/>
    <w:rsid w:val="005C1468"/>
    <w:rsid w:val="005C1AC9"/>
    <w:rsid w:val="005C24F3"/>
    <w:rsid w:val="005C45A2"/>
    <w:rsid w:val="005C4666"/>
    <w:rsid w:val="005D01DD"/>
    <w:rsid w:val="005D16C7"/>
    <w:rsid w:val="005D284D"/>
    <w:rsid w:val="005D2B22"/>
    <w:rsid w:val="005D5862"/>
    <w:rsid w:val="005E5662"/>
    <w:rsid w:val="005E5C3A"/>
    <w:rsid w:val="005E7468"/>
    <w:rsid w:val="005E7D51"/>
    <w:rsid w:val="005F151B"/>
    <w:rsid w:val="005F1720"/>
    <w:rsid w:val="00606E79"/>
    <w:rsid w:val="00611ED5"/>
    <w:rsid w:val="00612686"/>
    <w:rsid w:val="00614446"/>
    <w:rsid w:val="00614820"/>
    <w:rsid w:val="006162CA"/>
    <w:rsid w:val="00627818"/>
    <w:rsid w:val="0063075C"/>
    <w:rsid w:val="00636477"/>
    <w:rsid w:val="00640C61"/>
    <w:rsid w:val="006436A3"/>
    <w:rsid w:val="00644A82"/>
    <w:rsid w:val="00645BBE"/>
    <w:rsid w:val="00660217"/>
    <w:rsid w:val="00660A23"/>
    <w:rsid w:val="00661409"/>
    <w:rsid w:val="00666BF5"/>
    <w:rsid w:val="00666D3C"/>
    <w:rsid w:val="00667EEB"/>
    <w:rsid w:val="00673716"/>
    <w:rsid w:val="00674CB3"/>
    <w:rsid w:val="00675C3F"/>
    <w:rsid w:val="0068314B"/>
    <w:rsid w:val="00683FBA"/>
    <w:rsid w:val="00685645"/>
    <w:rsid w:val="00687B8A"/>
    <w:rsid w:val="00690CAB"/>
    <w:rsid w:val="00692F91"/>
    <w:rsid w:val="00693C55"/>
    <w:rsid w:val="00695501"/>
    <w:rsid w:val="006B1F16"/>
    <w:rsid w:val="006B61A6"/>
    <w:rsid w:val="006B6B83"/>
    <w:rsid w:val="006C0ECC"/>
    <w:rsid w:val="006D2FD9"/>
    <w:rsid w:val="006D3267"/>
    <w:rsid w:val="006D65DD"/>
    <w:rsid w:val="006D69F1"/>
    <w:rsid w:val="006D71E5"/>
    <w:rsid w:val="006E5230"/>
    <w:rsid w:val="006E576E"/>
    <w:rsid w:val="006E700F"/>
    <w:rsid w:val="006E73B6"/>
    <w:rsid w:val="006F1734"/>
    <w:rsid w:val="006F22F9"/>
    <w:rsid w:val="006F4414"/>
    <w:rsid w:val="006F4CCA"/>
    <w:rsid w:val="0070030A"/>
    <w:rsid w:val="00701894"/>
    <w:rsid w:val="00703903"/>
    <w:rsid w:val="00707690"/>
    <w:rsid w:val="007128AA"/>
    <w:rsid w:val="007133DF"/>
    <w:rsid w:val="007178DD"/>
    <w:rsid w:val="007229AA"/>
    <w:rsid w:val="00724E7E"/>
    <w:rsid w:val="0072591B"/>
    <w:rsid w:val="00725DDE"/>
    <w:rsid w:val="00734BDA"/>
    <w:rsid w:val="007514F2"/>
    <w:rsid w:val="00752522"/>
    <w:rsid w:val="00753AB5"/>
    <w:rsid w:val="00754EF0"/>
    <w:rsid w:val="00767F37"/>
    <w:rsid w:val="007728A1"/>
    <w:rsid w:val="00781290"/>
    <w:rsid w:val="00783F91"/>
    <w:rsid w:val="0078749A"/>
    <w:rsid w:val="0079275A"/>
    <w:rsid w:val="007A7FBE"/>
    <w:rsid w:val="007B26C3"/>
    <w:rsid w:val="007C0CB8"/>
    <w:rsid w:val="007C37DF"/>
    <w:rsid w:val="007D2F67"/>
    <w:rsid w:val="007D6A2C"/>
    <w:rsid w:val="007E3C2F"/>
    <w:rsid w:val="007F22DD"/>
    <w:rsid w:val="007F3BDA"/>
    <w:rsid w:val="007F7B37"/>
    <w:rsid w:val="00810F66"/>
    <w:rsid w:val="0081164E"/>
    <w:rsid w:val="00811BF3"/>
    <w:rsid w:val="00813AF6"/>
    <w:rsid w:val="008149C7"/>
    <w:rsid w:val="00814F7C"/>
    <w:rsid w:val="00816006"/>
    <w:rsid w:val="0081641C"/>
    <w:rsid w:val="00820619"/>
    <w:rsid w:val="00821CD1"/>
    <w:rsid w:val="008251F3"/>
    <w:rsid w:val="00826D9B"/>
    <w:rsid w:val="00830ACF"/>
    <w:rsid w:val="00831957"/>
    <w:rsid w:val="00834E1B"/>
    <w:rsid w:val="0084219A"/>
    <w:rsid w:val="008440EC"/>
    <w:rsid w:val="0085374F"/>
    <w:rsid w:val="00855233"/>
    <w:rsid w:val="00855E87"/>
    <w:rsid w:val="008663DE"/>
    <w:rsid w:val="008676E4"/>
    <w:rsid w:val="00867704"/>
    <w:rsid w:val="008735C2"/>
    <w:rsid w:val="0087453A"/>
    <w:rsid w:val="00876135"/>
    <w:rsid w:val="00876452"/>
    <w:rsid w:val="00877660"/>
    <w:rsid w:val="00877B14"/>
    <w:rsid w:val="0088597C"/>
    <w:rsid w:val="0089537E"/>
    <w:rsid w:val="00895446"/>
    <w:rsid w:val="008A100B"/>
    <w:rsid w:val="008A1C6B"/>
    <w:rsid w:val="008A5007"/>
    <w:rsid w:val="008B22E8"/>
    <w:rsid w:val="008B37B5"/>
    <w:rsid w:val="008C128E"/>
    <w:rsid w:val="008C3A27"/>
    <w:rsid w:val="008D012F"/>
    <w:rsid w:val="008D37F5"/>
    <w:rsid w:val="008D4130"/>
    <w:rsid w:val="008D55D8"/>
    <w:rsid w:val="008D5E7B"/>
    <w:rsid w:val="008E05A1"/>
    <w:rsid w:val="008E3E14"/>
    <w:rsid w:val="008E60F7"/>
    <w:rsid w:val="008E6334"/>
    <w:rsid w:val="008E6380"/>
    <w:rsid w:val="0090330A"/>
    <w:rsid w:val="00912972"/>
    <w:rsid w:val="0092423A"/>
    <w:rsid w:val="00926A0D"/>
    <w:rsid w:val="00931E70"/>
    <w:rsid w:val="00935C99"/>
    <w:rsid w:val="00940504"/>
    <w:rsid w:val="00940F36"/>
    <w:rsid w:val="00943687"/>
    <w:rsid w:val="009436C3"/>
    <w:rsid w:val="009442D0"/>
    <w:rsid w:val="00944747"/>
    <w:rsid w:val="009546A4"/>
    <w:rsid w:val="00957A32"/>
    <w:rsid w:val="00961B98"/>
    <w:rsid w:val="0096745A"/>
    <w:rsid w:val="00977702"/>
    <w:rsid w:val="00977C6C"/>
    <w:rsid w:val="00980B51"/>
    <w:rsid w:val="00981557"/>
    <w:rsid w:val="009870BA"/>
    <w:rsid w:val="00987D4C"/>
    <w:rsid w:val="00993320"/>
    <w:rsid w:val="009934D6"/>
    <w:rsid w:val="00993813"/>
    <w:rsid w:val="009A07DC"/>
    <w:rsid w:val="009A47A1"/>
    <w:rsid w:val="009B0B89"/>
    <w:rsid w:val="009B322C"/>
    <w:rsid w:val="009B664E"/>
    <w:rsid w:val="009C0466"/>
    <w:rsid w:val="009C0764"/>
    <w:rsid w:val="009C0B94"/>
    <w:rsid w:val="009C2BAD"/>
    <w:rsid w:val="009D38BD"/>
    <w:rsid w:val="009D6811"/>
    <w:rsid w:val="009D7666"/>
    <w:rsid w:val="009D7B07"/>
    <w:rsid w:val="009E6B22"/>
    <w:rsid w:val="009E775B"/>
    <w:rsid w:val="009E7B85"/>
    <w:rsid w:val="009F1EA7"/>
    <w:rsid w:val="009F76EE"/>
    <w:rsid w:val="00A05B5D"/>
    <w:rsid w:val="00A13705"/>
    <w:rsid w:val="00A17550"/>
    <w:rsid w:val="00A26201"/>
    <w:rsid w:val="00A2677B"/>
    <w:rsid w:val="00A31A40"/>
    <w:rsid w:val="00A33C77"/>
    <w:rsid w:val="00A33C82"/>
    <w:rsid w:val="00A34619"/>
    <w:rsid w:val="00A42191"/>
    <w:rsid w:val="00A4245A"/>
    <w:rsid w:val="00A52F13"/>
    <w:rsid w:val="00A53430"/>
    <w:rsid w:val="00A55DFD"/>
    <w:rsid w:val="00A57D61"/>
    <w:rsid w:val="00A60495"/>
    <w:rsid w:val="00A65D67"/>
    <w:rsid w:val="00A67066"/>
    <w:rsid w:val="00A751EB"/>
    <w:rsid w:val="00A769AD"/>
    <w:rsid w:val="00A82546"/>
    <w:rsid w:val="00A86813"/>
    <w:rsid w:val="00A93F1D"/>
    <w:rsid w:val="00A96479"/>
    <w:rsid w:val="00A9743E"/>
    <w:rsid w:val="00A979C5"/>
    <w:rsid w:val="00AA2C11"/>
    <w:rsid w:val="00AB2BEC"/>
    <w:rsid w:val="00AB53FA"/>
    <w:rsid w:val="00AC3C01"/>
    <w:rsid w:val="00AC4A49"/>
    <w:rsid w:val="00AC7A23"/>
    <w:rsid w:val="00AD06D2"/>
    <w:rsid w:val="00AD2695"/>
    <w:rsid w:val="00AD3E73"/>
    <w:rsid w:val="00AD4171"/>
    <w:rsid w:val="00AD5778"/>
    <w:rsid w:val="00AD7A60"/>
    <w:rsid w:val="00AE1A34"/>
    <w:rsid w:val="00AE4C7A"/>
    <w:rsid w:val="00AF5BAE"/>
    <w:rsid w:val="00AF6973"/>
    <w:rsid w:val="00B12353"/>
    <w:rsid w:val="00B26A79"/>
    <w:rsid w:val="00B37238"/>
    <w:rsid w:val="00B406F5"/>
    <w:rsid w:val="00B42499"/>
    <w:rsid w:val="00B53988"/>
    <w:rsid w:val="00B5720A"/>
    <w:rsid w:val="00B606E0"/>
    <w:rsid w:val="00B6191A"/>
    <w:rsid w:val="00B61F9B"/>
    <w:rsid w:val="00B6402C"/>
    <w:rsid w:val="00B67AE6"/>
    <w:rsid w:val="00B73826"/>
    <w:rsid w:val="00B7412C"/>
    <w:rsid w:val="00B74C07"/>
    <w:rsid w:val="00B76654"/>
    <w:rsid w:val="00B771D1"/>
    <w:rsid w:val="00B80BF4"/>
    <w:rsid w:val="00B8389F"/>
    <w:rsid w:val="00B87513"/>
    <w:rsid w:val="00B90571"/>
    <w:rsid w:val="00B96F09"/>
    <w:rsid w:val="00BA3062"/>
    <w:rsid w:val="00BA59DF"/>
    <w:rsid w:val="00BA5FD0"/>
    <w:rsid w:val="00BB441C"/>
    <w:rsid w:val="00BC24D4"/>
    <w:rsid w:val="00BC487B"/>
    <w:rsid w:val="00BC6847"/>
    <w:rsid w:val="00BC7D74"/>
    <w:rsid w:val="00BD61B8"/>
    <w:rsid w:val="00BE1538"/>
    <w:rsid w:val="00BE1CBA"/>
    <w:rsid w:val="00BE5331"/>
    <w:rsid w:val="00BE7064"/>
    <w:rsid w:val="00C113E7"/>
    <w:rsid w:val="00C12282"/>
    <w:rsid w:val="00C14136"/>
    <w:rsid w:val="00C204E1"/>
    <w:rsid w:val="00C217F7"/>
    <w:rsid w:val="00C25320"/>
    <w:rsid w:val="00C25706"/>
    <w:rsid w:val="00C30D57"/>
    <w:rsid w:val="00C320A6"/>
    <w:rsid w:val="00C339CB"/>
    <w:rsid w:val="00C45D73"/>
    <w:rsid w:val="00C60689"/>
    <w:rsid w:val="00C66374"/>
    <w:rsid w:val="00C7232E"/>
    <w:rsid w:val="00C741B3"/>
    <w:rsid w:val="00C803FD"/>
    <w:rsid w:val="00C82E47"/>
    <w:rsid w:val="00C915B7"/>
    <w:rsid w:val="00C92484"/>
    <w:rsid w:val="00C94933"/>
    <w:rsid w:val="00C9762B"/>
    <w:rsid w:val="00C97EF3"/>
    <w:rsid w:val="00CA210C"/>
    <w:rsid w:val="00CB1CF8"/>
    <w:rsid w:val="00CC0042"/>
    <w:rsid w:val="00CC0D39"/>
    <w:rsid w:val="00CC3DB5"/>
    <w:rsid w:val="00CE5B48"/>
    <w:rsid w:val="00CF484F"/>
    <w:rsid w:val="00D03C92"/>
    <w:rsid w:val="00D11699"/>
    <w:rsid w:val="00D11EBE"/>
    <w:rsid w:val="00D1280B"/>
    <w:rsid w:val="00D13098"/>
    <w:rsid w:val="00D1325C"/>
    <w:rsid w:val="00D179A1"/>
    <w:rsid w:val="00D2008B"/>
    <w:rsid w:val="00D212FE"/>
    <w:rsid w:val="00D22312"/>
    <w:rsid w:val="00D2752E"/>
    <w:rsid w:val="00D30A65"/>
    <w:rsid w:val="00D32CC4"/>
    <w:rsid w:val="00D34C3A"/>
    <w:rsid w:val="00D509D0"/>
    <w:rsid w:val="00D51C78"/>
    <w:rsid w:val="00D540AA"/>
    <w:rsid w:val="00D57236"/>
    <w:rsid w:val="00D624A8"/>
    <w:rsid w:val="00D65DBA"/>
    <w:rsid w:val="00D6725B"/>
    <w:rsid w:val="00D7004E"/>
    <w:rsid w:val="00D73250"/>
    <w:rsid w:val="00D77ED6"/>
    <w:rsid w:val="00D85F92"/>
    <w:rsid w:val="00D872F2"/>
    <w:rsid w:val="00D928BD"/>
    <w:rsid w:val="00D9426F"/>
    <w:rsid w:val="00D9508D"/>
    <w:rsid w:val="00DA03EE"/>
    <w:rsid w:val="00DA4156"/>
    <w:rsid w:val="00DA41A9"/>
    <w:rsid w:val="00DB7F3C"/>
    <w:rsid w:val="00DC056E"/>
    <w:rsid w:val="00DC1971"/>
    <w:rsid w:val="00DC3823"/>
    <w:rsid w:val="00DC4FCA"/>
    <w:rsid w:val="00DC6A8C"/>
    <w:rsid w:val="00DC7A6D"/>
    <w:rsid w:val="00DD531D"/>
    <w:rsid w:val="00DD5F16"/>
    <w:rsid w:val="00DE3D59"/>
    <w:rsid w:val="00E03597"/>
    <w:rsid w:val="00E1248B"/>
    <w:rsid w:val="00E1430F"/>
    <w:rsid w:val="00E14AA3"/>
    <w:rsid w:val="00E154CC"/>
    <w:rsid w:val="00E16F0D"/>
    <w:rsid w:val="00E211B7"/>
    <w:rsid w:val="00E230B2"/>
    <w:rsid w:val="00E237D3"/>
    <w:rsid w:val="00E3095E"/>
    <w:rsid w:val="00E35393"/>
    <w:rsid w:val="00E375C1"/>
    <w:rsid w:val="00E37C86"/>
    <w:rsid w:val="00E37FFC"/>
    <w:rsid w:val="00E4180A"/>
    <w:rsid w:val="00E50681"/>
    <w:rsid w:val="00E534BF"/>
    <w:rsid w:val="00E5674C"/>
    <w:rsid w:val="00E57F9C"/>
    <w:rsid w:val="00E6161E"/>
    <w:rsid w:val="00E708F6"/>
    <w:rsid w:val="00E70C62"/>
    <w:rsid w:val="00E72AAA"/>
    <w:rsid w:val="00E86D7A"/>
    <w:rsid w:val="00E911E2"/>
    <w:rsid w:val="00E9574C"/>
    <w:rsid w:val="00E9748D"/>
    <w:rsid w:val="00EA0B87"/>
    <w:rsid w:val="00EA7A04"/>
    <w:rsid w:val="00EA7ADC"/>
    <w:rsid w:val="00EB17B8"/>
    <w:rsid w:val="00EB2092"/>
    <w:rsid w:val="00EB392A"/>
    <w:rsid w:val="00EB69B7"/>
    <w:rsid w:val="00EB749D"/>
    <w:rsid w:val="00ED1465"/>
    <w:rsid w:val="00EF35C8"/>
    <w:rsid w:val="00F01D35"/>
    <w:rsid w:val="00F037BF"/>
    <w:rsid w:val="00F03F29"/>
    <w:rsid w:val="00F077CB"/>
    <w:rsid w:val="00F07A20"/>
    <w:rsid w:val="00F21B89"/>
    <w:rsid w:val="00F21C98"/>
    <w:rsid w:val="00F22CA2"/>
    <w:rsid w:val="00F2614B"/>
    <w:rsid w:val="00F3069F"/>
    <w:rsid w:val="00F37C22"/>
    <w:rsid w:val="00F41EAC"/>
    <w:rsid w:val="00F45475"/>
    <w:rsid w:val="00F53335"/>
    <w:rsid w:val="00F569D2"/>
    <w:rsid w:val="00F63A88"/>
    <w:rsid w:val="00F656C6"/>
    <w:rsid w:val="00F70BFC"/>
    <w:rsid w:val="00F71171"/>
    <w:rsid w:val="00F7452B"/>
    <w:rsid w:val="00F759B9"/>
    <w:rsid w:val="00F75F17"/>
    <w:rsid w:val="00F808F3"/>
    <w:rsid w:val="00F82A1F"/>
    <w:rsid w:val="00F82B63"/>
    <w:rsid w:val="00F82F73"/>
    <w:rsid w:val="00F951CF"/>
    <w:rsid w:val="00F96353"/>
    <w:rsid w:val="00F97434"/>
    <w:rsid w:val="00FA11BF"/>
    <w:rsid w:val="00FB0DC2"/>
    <w:rsid w:val="00FB53C8"/>
    <w:rsid w:val="00FB5A2E"/>
    <w:rsid w:val="00FC07C3"/>
    <w:rsid w:val="00FC090B"/>
    <w:rsid w:val="00FC5E46"/>
    <w:rsid w:val="00FC61D5"/>
    <w:rsid w:val="00FD03A9"/>
    <w:rsid w:val="00FD0C72"/>
    <w:rsid w:val="00FD7690"/>
    <w:rsid w:val="00FE5189"/>
    <w:rsid w:val="00FE63CD"/>
    <w:rsid w:val="00FF1DC9"/>
    <w:rsid w:val="00FF1E5F"/>
    <w:rsid w:val="00FF5CB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C9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0C99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2014-03-07T14:47:00Z</dcterms:created>
  <dcterms:modified xsi:type="dcterms:W3CDTF">2014-03-07T14:48:00Z</dcterms:modified>
</cp:coreProperties>
</file>